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 w:firstLine="0" w:firstLineChars="0"/>
        <w:jc w:val="both"/>
        <w:outlineLvl w:val="9"/>
        <w:rPr>
          <w:rFonts w:hint="eastAsia" w:ascii="方正小标宋简体" w:hAnsi="方正小标宋简体" w:eastAsia="CESI黑体-GB2312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CESI黑体-GB2312" w:cs="方正小标宋简体"/>
          <w:sz w:val="28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 w:firstLine="0" w:firstLineChars="0"/>
        <w:jc w:val="both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第一批支持专精特新“小巨人”企业重点服务机构机构名单</w:t>
      </w:r>
    </w:p>
    <w:tbl>
      <w:tblPr>
        <w:tblStyle w:val="2"/>
        <w:tblpPr w:leftFromText="180" w:rightFromText="180" w:vertAnchor="page" w:horzAnchor="page" w:tblpX="1442" w:tblpY="3430"/>
        <w:tblOverlap w:val="never"/>
        <w:tblW w:w="89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752"/>
        <w:gridCol w:w="1678"/>
        <w:gridCol w:w="103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服务机构名称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主要服务功能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93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工信部第一批支持专精特新“小巨人”企业重点服务机构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napToGrid w:val="0"/>
                <w:spacing w:val="2"/>
                <w:sz w:val="21"/>
                <w:szCs w:val="22"/>
                <w:lang w:val="en-US" w:eastAsia="zh-CN"/>
              </w:rPr>
              <w:t>太原高新金控股权服务有限公司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融资、管理咨询、政策服务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4"/>
                <w:vertAlign w:val="baseline"/>
                <w:lang w:val="en-US" w:eastAsia="zh-CN"/>
              </w:rPr>
              <w:t>张小龙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4"/>
                <w:vertAlign w:val="baseline"/>
                <w:lang w:val="en-US" w:eastAsia="zh-CN"/>
              </w:rPr>
              <w:t>18636931208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napToGrid w:val="0"/>
                <w:spacing w:val="2"/>
                <w:sz w:val="21"/>
                <w:szCs w:val="24"/>
                <w:lang w:val="en-US" w:eastAsia="zh-CN"/>
              </w:rPr>
              <w:t>山西博康财税服务有限公司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财税、政策、技术服务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4"/>
                <w:vertAlign w:val="baseline"/>
                <w:lang w:val="en-US" w:eastAsia="zh-CN"/>
              </w:rPr>
              <w:t>郑鹏杰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4"/>
                <w:vertAlign w:val="baseline"/>
                <w:lang w:val="en-US" w:eastAsia="zh-CN"/>
              </w:rPr>
              <w:t>18636164677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napToGrid w:val="0"/>
                <w:spacing w:val="2"/>
                <w:sz w:val="21"/>
                <w:szCs w:val="24"/>
                <w:lang w:val="en-US" w:eastAsia="zh-CN"/>
              </w:rPr>
              <w:t>启迪（太原）科技园投资发展有限公司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政策、融资、培训服务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4"/>
                <w:vertAlign w:val="baseline"/>
                <w:lang w:val="en-US" w:eastAsia="zh-CN"/>
              </w:rPr>
              <w:t>冯洁茹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4"/>
                <w:vertAlign w:val="baseline"/>
                <w:lang w:val="en-US" w:eastAsia="zh-CN"/>
              </w:rPr>
              <w:t>13903595595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3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省级第一批支持专精特新“小巨人”企业重点服务机构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山西龙采科技有限公司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市场开拓、数字化赋能服务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杜海峰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13333544913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山西股权交易中心有限公司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融资、管理咨询、培训服务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高逸贤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18734151006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太原特玛茹电子科技有限公司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210" w:firstLineChars="100"/>
              <w:jc w:val="both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市场开拓、工业设计、</w:t>
            </w: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数字化赋能服务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韩婧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13934130670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山西成成易成信息技术有限公司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政策、技术、培训服务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马丽丽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13546432265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山西环宇星火科技咨询有限公司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政策、数字化赋能、技术服务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梁建男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18636248911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山西安弘检测技术有限公司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技术、培训、管理咨询服务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郭沐均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15135168180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太原技术转移促进中心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技术、政策、数字化赋能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张晓鹏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18636949591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/>
              </w:rPr>
              <w:t>太原市中小企业培训服务中心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培训、管理咨询、政策服务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李建国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13903419718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7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山西德正科嘉企业管理咨询有限公司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政策、管理咨询服务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郝海林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17636624777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山西税源税务师事务所（有限公司）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培训、财税服务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苗彩红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18835369667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/>
              </w:rPr>
              <w:t>长治市荣通人力资源有限公司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培训、管理咨询、技术服务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王永胜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15620287994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晋城市中小企业服务中心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技术、政策、培训服务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刘燕军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13703560210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晋城支点文化传播有限公司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技术、培训、管理咨询服务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张洁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18635646868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北京盈科（晋城）律师事务所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培训、法律维权服务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裴李娜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13283567728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晋城市安瑞兴邦财务咨询服务有限公司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财税、融资、技术服务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刘淑娟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i w:val="0"/>
                <w:iCs w:val="0"/>
                <w:color w:val="000000"/>
                <w:sz w:val="21"/>
                <w:szCs w:val="24"/>
                <w:u w:val="none"/>
                <w:lang w:val="en-US" w:eastAsia="zh-CN"/>
              </w:rPr>
              <w:t>18635688303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2021-09-22T09:23:32Z</dcterms:created>
  <dc:creator>WP</dc:creator>
  <cp:lastModifiedBy>WP</cp:lastModifiedBy>
  <dcterms:modified xsi:type="dcterms:W3CDTF">2021-09-22T09:24:40Z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